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300" w:beforeAutospacing="0" w:after="300" w:afterAutospacing="0" w:line="240" w:lineRule="auto"/>
        <w:ind w:left="0" w:right="0" w:firstLine="560" w:firstLineChars="200"/>
        <w:jc w:val="left"/>
        <w:textAlignment w:val="auto"/>
        <w:rPr>
          <w:rFonts w:hint="default" w:ascii="仿宋" w:hAnsi="仿宋" w:eastAsia="仿宋" w:cs="仿宋"/>
          <w:color w:val="212121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212121"/>
          <w:sz w:val="28"/>
          <w:szCs w:val="28"/>
          <w:lang w:val="en-US" w:eastAsia="zh-CN"/>
        </w:rPr>
        <w:t>1.评分表</w:t>
      </w:r>
    </w:p>
    <w:tbl>
      <w:tblPr>
        <w:tblStyle w:val="6"/>
        <w:tblW w:w="853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1"/>
        <w:gridCol w:w="6436"/>
        <w:gridCol w:w="86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仿宋"/>
                <w:sz w:val="28"/>
                <w:szCs w:val="24"/>
              </w:rPr>
            </w:pPr>
            <w:r>
              <w:rPr>
                <w:rFonts w:hint="eastAsia" w:ascii="宋体" w:hAnsi="宋体" w:cs="仿宋"/>
                <w:sz w:val="28"/>
                <w:szCs w:val="24"/>
              </w:rPr>
              <w:t>评分因素</w:t>
            </w:r>
          </w:p>
        </w:tc>
        <w:tc>
          <w:tcPr>
            <w:tcW w:w="6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仿宋"/>
                <w:sz w:val="28"/>
                <w:szCs w:val="24"/>
              </w:rPr>
            </w:pPr>
            <w:r>
              <w:rPr>
                <w:rFonts w:hint="eastAsia" w:ascii="宋体" w:hAnsi="宋体" w:cs="仿宋"/>
                <w:sz w:val="28"/>
                <w:szCs w:val="24"/>
              </w:rPr>
              <w:t>评分内容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ind w:left="-53" w:leftChars="-25" w:right="-53" w:rightChars="-25"/>
              <w:jc w:val="center"/>
              <w:rPr>
                <w:rFonts w:ascii="宋体" w:hAnsi="宋体" w:cs="仿宋"/>
                <w:sz w:val="28"/>
                <w:szCs w:val="24"/>
              </w:rPr>
            </w:pPr>
            <w:r>
              <w:rPr>
                <w:rFonts w:hint="eastAsia" w:ascii="宋体" w:hAnsi="宋体" w:cs="仿宋"/>
                <w:sz w:val="28"/>
                <w:szCs w:val="24"/>
              </w:rPr>
              <w:t>分值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" w:hRule="atLeast"/>
          <w:jc w:val="center"/>
        </w:trPr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ind w:left="-53" w:leftChars="-25" w:right="-53" w:rightChars="-25"/>
              <w:jc w:val="center"/>
              <w:rPr>
                <w:rFonts w:ascii="宋体" w:hAnsi="宋体" w:cs="仿宋"/>
                <w:b/>
                <w:bCs/>
                <w:sz w:val="24"/>
                <w:szCs w:val="22"/>
              </w:rPr>
            </w:pPr>
            <w:r>
              <w:rPr>
                <w:rFonts w:hint="eastAsia" w:ascii="宋体" w:hAnsi="宋体" w:cs="仿宋"/>
                <w:b/>
                <w:bCs/>
                <w:sz w:val="24"/>
                <w:szCs w:val="22"/>
              </w:rPr>
              <w:t>供应商服务能力</w:t>
            </w:r>
          </w:p>
          <w:p>
            <w:pPr>
              <w:spacing w:line="300" w:lineRule="exact"/>
              <w:ind w:left="-53" w:leftChars="-25" w:right="-53" w:rightChars="-25"/>
              <w:jc w:val="center"/>
              <w:rPr>
                <w:rFonts w:ascii="宋体" w:hAnsi="宋体" w:cs="仿宋"/>
                <w:b/>
                <w:bCs/>
                <w:sz w:val="24"/>
                <w:szCs w:val="22"/>
              </w:rPr>
            </w:pPr>
          </w:p>
        </w:tc>
        <w:tc>
          <w:tcPr>
            <w:tcW w:w="6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adjustRightInd/>
              <w:ind w:leftChars="0"/>
              <w:jc w:val="left"/>
              <w:rPr>
                <w:rFonts w:hint="eastAsia"/>
                <w:sz w:val="28"/>
                <w:szCs w:val="28"/>
                <w:lang w:eastAsia="zh-Hans"/>
              </w:rPr>
            </w:pPr>
            <w:r>
              <w:rPr>
                <w:rFonts w:hint="eastAsia"/>
                <w:sz w:val="28"/>
                <w:szCs w:val="28"/>
                <w:lang w:eastAsia="zh-Hans"/>
              </w:rPr>
              <w:t>服务业绩：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投标人201</w:t>
            </w:r>
            <w:r>
              <w:rPr>
                <w:rFonts w:hint="default"/>
                <w:sz w:val="28"/>
                <w:szCs w:val="28"/>
                <w:lang w:val="en-US" w:eastAsia="zh-CN"/>
              </w:rPr>
              <w:t>8年1月1日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建筑、装饰类或水电</w:t>
            </w:r>
            <w:r>
              <w:rPr>
                <w:rFonts w:hint="default"/>
                <w:sz w:val="28"/>
                <w:szCs w:val="28"/>
                <w:lang w:val="en-US" w:eastAsia="zh-CN"/>
              </w:rPr>
              <w:t>类项目业绩合同，每提供一项业绩得3分，最高得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30</w:t>
            </w:r>
            <w:r>
              <w:rPr>
                <w:rFonts w:hint="default"/>
                <w:sz w:val="28"/>
                <w:szCs w:val="28"/>
                <w:lang w:val="en-US" w:eastAsia="zh-CN"/>
              </w:rPr>
              <w:t>分。</w:t>
            </w:r>
          </w:p>
          <w:p>
            <w:pPr>
              <w:numPr>
                <w:ilvl w:val="0"/>
                <w:numId w:val="0"/>
              </w:numPr>
              <w:autoSpaceDE/>
              <w:autoSpaceDN/>
              <w:adjustRightInd/>
              <w:ind w:leftChars="0"/>
              <w:jc w:val="left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注：1.</w:t>
            </w:r>
            <w:r>
              <w:rPr>
                <w:rFonts w:hint="default"/>
                <w:sz w:val="28"/>
                <w:szCs w:val="28"/>
                <w:lang w:val="en-US" w:eastAsia="zh-CN"/>
              </w:rPr>
              <w:t>投标文件中提供合同复印件并加盖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投标人，</w:t>
            </w:r>
            <w:r>
              <w:rPr>
                <w:rFonts w:hint="default"/>
                <w:sz w:val="28"/>
                <w:szCs w:val="28"/>
                <w:lang w:val="en-US" w:eastAsia="zh-CN"/>
              </w:rPr>
              <w:t>合同时间以合同签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订日期为准。</w:t>
            </w:r>
          </w:p>
          <w:p>
            <w:pPr>
              <w:numPr>
                <w:ilvl w:val="0"/>
                <w:numId w:val="0"/>
              </w:numPr>
              <w:autoSpaceDE/>
              <w:autoSpaceDN/>
              <w:adjustRightInd/>
              <w:ind w:leftChars="0"/>
              <w:jc w:val="left"/>
              <w:rPr>
                <w:rFonts w:hint="default" w:ascii="宋体" w:hAnsi="宋体" w:cs="仿宋"/>
                <w:sz w:val="24"/>
                <w:szCs w:val="22"/>
                <w:lang w:val="en-US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2.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水电供应商与建筑物构筑物供应商业绩分别计分。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 w:cs="仿宋"/>
                <w:sz w:val="24"/>
                <w:szCs w:val="22"/>
                <w:lang w:val="en-US" w:eastAsia="zh-CN"/>
              </w:rPr>
            </w:pPr>
            <w:r>
              <w:rPr>
                <w:rFonts w:ascii="宋体" w:hAnsi="宋体" w:cs="仿宋"/>
                <w:sz w:val="24"/>
                <w:szCs w:val="22"/>
              </w:rPr>
              <w:t>0-</w:t>
            </w:r>
            <w:r>
              <w:rPr>
                <w:rFonts w:hint="eastAsia" w:cs="仿宋"/>
                <w:sz w:val="24"/>
                <w:szCs w:val="22"/>
                <w:lang w:val="en-US" w:eastAsia="zh-CN"/>
              </w:rPr>
              <w:t>30分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" w:hRule="atLeast"/>
          <w:jc w:val="center"/>
        </w:trPr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仿宋"/>
                <w:b/>
                <w:bCs/>
                <w:sz w:val="24"/>
                <w:szCs w:val="22"/>
              </w:rPr>
            </w:pPr>
          </w:p>
          <w:p>
            <w:pPr>
              <w:spacing w:line="300" w:lineRule="exact"/>
              <w:jc w:val="center"/>
              <w:rPr>
                <w:rFonts w:ascii="宋体" w:hAnsi="宋体" w:cs="仿宋"/>
                <w:b/>
                <w:bCs/>
                <w:sz w:val="24"/>
                <w:szCs w:val="22"/>
              </w:rPr>
            </w:pPr>
            <w:r>
              <w:rPr>
                <w:rFonts w:hint="eastAsia" w:ascii="宋体" w:hAnsi="宋体" w:cs="仿宋"/>
                <w:b/>
                <w:bCs/>
                <w:sz w:val="24"/>
                <w:szCs w:val="22"/>
              </w:rPr>
              <w:t>服务保障</w:t>
            </w:r>
          </w:p>
        </w:tc>
        <w:tc>
          <w:tcPr>
            <w:tcW w:w="6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adjustRightInd/>
              <w:ind w:leftChars="0"/>
              <w:jc w:val="left"/>
              <w:rPr>
                <w:rFonts w:hint="eastAsia"/>
                <w:sz w:val="28"/>
                <w:szCs w:val="28"/>
                <w:lang w:val="en-US" w:eastAsia="zh-Hans"/>
              </w:rPr>
            </w:pPr>
            <w:r>
              <w:rPr>
                <w:rFonts w:hint="eastAsia"/>
                <w:sz w:val="28"/>
                <w:szCs w:val="28"/>
                <w:lang w:val="en-US" w:eastAsia="zh-Hans"/>
              </w:rPr>
              <w:t>1. 供应商在报价文件中承诺中标后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有24小时服务承诺</w:t>
            </w:r>
            <w:r>
              <w:rPr>
                <w:rFonts w:hint="eastAsia"/>
                <w:sz w:val="28"/>
                <w:szCs w:val="28"/>
                <w:lang w:val="en-US" w:eastAsia="zh-Hans"/>
              </w:rPr>
              <w:t>，未提供不得分；</w:t>
            </w:r>
          </w:p>
          <w:p>
            <w:pPr>
              <w:numPr>
                <w:ilvl w:val="0"/>
                <w:numId w:val="0"/>
              </w:numPr>
              <w:autoSpaceDE/>
              <w:autoSpaceDN/>
              <w:adjustRightInd/>
              <w:ind w:leftChars="0"/>
              <w:jc w:val="left"/>
              <w:rPr>
                <w:rFonts w:ascii="宋体" w:hAnsi="宋体" w:cs="仿宋"/>
                <w:sz w:val="24"/>
                <w:szCs w:val="22"/>
              </w:rPr>
            </w:pPr>
            <w:r>
              <w:rPr>
                <w:rFonts w:hint="eastAsia"/>
                <w:sz w:val="28"/>
                <w:szCs w:val="28"/>
                <w:lang w:val="en-US" w:eastAsia="zh-Hans"/>
              </w:rPr>
              <w:t>2.供应商必须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承诺服务费用不高于市场均价，</w:t>
            </w:r>
            <w:r>
              <w:rPr>
                <w:rFonts w:hint="eastAsia"/>
                <w:sz w:val="28"/>
                <w:szCs w:val="28"/>
                <w:lang w:val="en-US" w:eastAsia="zh-Hans"/>
              </w:rPr>
              <w:t>未提供不得分；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 w:cs="仿宋"/>
                <w:sz w:val="24"/>
                <w:szCs w:val="22"/>
                <w:lang w:val="en-US" w:eastAsia="zh-CN"/>
              </w:rPr>
            </w:pPr>
            <w:r>
              <w:rPr>
                <w:rFonts w:ascii="宋体" w:hAnsi="宋体" w:cs="仿宋"/>
                <w:sz w:val="24"/>
                <w:szCs w:val="22"/>
              </w:rPr>
              <w:t>0-</w:t>
            </w:r>
            <w:r>
              <w:rPr>
                <w:rFonts w:hint="eastAsia" w:ascii="宋体" w:hAnsi="宋体" w:cs="仿宋"/>
                <w:sz w:val="24"/>
                <w:szCs w:val="22"/>
                <w:lang w:val="en-US" w:eastAsia="zh-CN"/>
              </w:rPr>
              <w:t>30分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3" w:hRule="atLeast"/>
          <w:jc w:val="center"/>
        </w:trPr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cs="仿宋"/>
                <w:b/>
                <w:bCs/>
                <w:kern w:val="0"/>
                <w:sz w:val="24"/>
                <w:szCs w:val="22"/>
              </w:rPr>
            </w:pPr>
            <w:r>
              <w:rPr>
                <w:rFonts w:hint="eastAsia" w:ascii="宋体" w:hAnsi="宋体" w:cs="仿宋"/>
                <w:b/>
                <w:bCs/>
                <w:kern w:val="0"/>
                <w:sz w:val="24"/>
                <w:szCs w:val="22"/>
                <w:lang w:val="en-US" w:eastAsia="zh-CN"/>
              </w:rPr>
              <w:t>维修报价</w:t>
            </w:r>
          </w:p>
        </w:tc>
        <w:tc>
          <w:tcPr>
            <w:tcW w:w="6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adjustRightInd/>
              <w:ind w:leftChars="0"/>
              <w:jc w:val="left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水电供应商：地下供水管（8分）；室内供水管网（8分）；卫生间排水管（8分）；地下排水管（8分）；路灯更换（8分）。</w:t>
            </w:r>
          </w:p>
          <w:p>
            <w:pPr>
              <w:numPr>
                <w:ilvl w:val="0"/>
                <w:numId w:val="0"/>
              </w:numPr>
              <w:autoSpaceDE/>
              <w:autoSpaceDN/>
              <w:adjustRightInd/>
              <w:ind w:leftChars="0"/>
              <w:jc w:val="left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建筑物构筑物供应商：室内墙面粉刷（8分）；室外真石漆墙面粉刷（8分）；室外墙壁漆粉刷（8分）；瓷砖修复（8分）；屋面防水（8分）。</w:t>
            </w:r>
          </w:p>
          <w:p>
            <w:pPr>
              <w:numPr>
                <w:ilvl w:val="0"/>
                <w:numId w:val="0"/>
              </w:numPr>
              <w:autoSpaceDE/>
              <w:autoSpaceDN/>
              <w:adjustRightInd/>
              <w:ind w:leftChars="0"/>
              <w:jc w:val="left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1.由潜在供应商分别报价，每项报价最低为8分，其他得分为：</w:t>
            </w:r>
            <w:r>
              <w:rPr>
                <w:rFonts w:hint="eastAsia" w:ascii="宋体" w:hAnsi="宋体" w:eastAsia="宋体" w:cs="宋体"/>
                <w:position w:val="-26"/>
                <w:sz w:val="28"/>
                <w:szCs w:val="28"/>
                <w:lang w:val="en-US" w:eastAsia="zh-CN"/>
              </w:rPr>
              <w:object>
                <v:shape id="_x0000_i1025" o:spt="75" type="#_x0000_t75" style="height:33pt;width:80pt;" o:ole="t" filled="f" o:preferrelative="t" stroked="f" coordsize="21600,21600">
                  <v:path/>
                  <v:fill on="f" focussize="0,0"/>
                  <v:stroke on="f"/>
                  <v:imagedata r:id="rId5" o:title=""/>
                  <o:lock v:ext="edit" aspectratio="t"/>
                  <w10:wrap type="none"/>
                  <w10:anchorlock/>
                </v:shape>
                <o:OLEObject Type="Embed" ProgID="Equation.KSEE3" ShapeID="_x0000_i1025" DrawAspect="Content" ObjectID="_1468075725" r:id="rId4">
                  <o:LockedField>false</o:LockedField>
                </o:OLEObject>
              </w:object>
            </w:r>
          </w:p>
          <w:p>
            <w:pPr>
              <w:adjustRightInd w:val="0"/>
              <w:snapToGrid w:val="0"/>
              <w:spacing w:line="300" w:lineRule="exact"/>
              <w:rPr>
                <w:rFonts w:hint="default" w:ascii="宋体" w:hAnsi="宋体" w:eastAsia="宋体" w:cs="仿宋"/>
                <w:kern w:val="0"/>
                <w:sz w:val="24"/>
                <w:szCs w:val="22"/>
                <w:u w:val="singl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2.以上包含材料费。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hint="default" w:ascii="宋体" w:hAnsi="宋体" w:eastAsia="宋体" w:cs="仿宋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仿宋"/>
                <w:kern w:val="0"/>
                <w:sz w:val="24"/>
                <w:szCs w:val="22"/>
                <w:lang w:val="en-US" w:eastAsia="zh-CN"/>
              </w:rPr>
              <w:t>40分</w:t>
            </w:r>
          </w:p>
        </w:tc>
      </w:tr>
    </w:tbl>
    <w:p>
      <w:pPr>
        <w:pStyle w:val="4"/>
      </w:pPr>
    </w:p>
    <w:p>
      <w:pPr>
        <w:pStyle w:val="4"/>
        <w:rPr>
          <w:rFonts w:hint="eastAsia" w:ascii="仿宋" w:hAnsi="仿宋" w:eastAsia="仿宋" w:cs="仿宋"/>
          <w:color w:val="212121"/>
          <w:kern w:val="0"/>
          <w:sz w:val="28"/>
          <w:szCs w:val="28"/>
          <w:lang w:val="en-US" w:eastAsia="zh-CN" w:bidi="ar"/>
        </w:rPr>
      </w:pPr>
    </w:p>
    <w:p>
      <w:pPr>
        <w:pStyle w:val="4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color w:val="212121"/>
          <w:kern w:val="0"/>
          <w:sz w:val="28"/>
          <w:szCs w:val="28"/>
          <w:lang w:val="en-US" w:eastAsia="zh-CN" w:bidi="ar"/>
        </w:rPr>
        <w:t>2.报价单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0"/>
        <w:gridCol w:w="66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  <w:jc w:val="center"/>
        </w:trPr>
        <w:tc>
          <w:tcPr>
            <w:tcW w:w="8296" w:type="dxa"/>
            <w:gridSpan w:val="2"/>
            <w:noWrap w:val="0"/>
            <w:vAlign w:val="center"/>
          </w:tcPr>
          <w:p>
            <w:pPr>
              <w:jc w:val="center"/>
              <w:rPr>
                <w:b/>
                <w:sz w:val="44"/>
                <w:szCs w:val="44"/>
              </w:rPr>
            </w:pPr>
            <w:r>
              <w:rPr>
                <w:rFonts w:hint="eastAsia" w:ascii="仿宋" w:hAnsi="仿宋" w:eastAsia="仿宋" w:cs="仿宋"/>
                <w:sz w:val="52"/>
                <w:szCs w:val="72"/>
                <w:lang w:val="en-US" w:eastAsia="zh-CN"/>
              </w:rPr>
              <w:t>亳州十八中校园零星维修供应商招标项目报价单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16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  <w:t>时间</w:t>
            </w:r>
          </w:p>
        </w:tc>
        <w:tc>
          <w:tcPr>
            <w:tcW w:w="6656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333333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lang w:val="en-US" w:eastAsia="zh-CN"/>
              </w:rPr>
              <w:t>2023年4月11日9:30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16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  <w:t>地点</w:t>
            </w:r>
          </w:p>
        </w:tc>
        <w:tc>
          <w:tcPr>
            <w:tcW w:w="665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  <w:t>图书馆四楼总务处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40" w:type="dxa"/>
            <w:noWrap w:val="0"/>
            <w:vAlign w:val="center"/>
          </w:tcPr>
          <w:p>
            <w:pPr>
              <w:jc w:val="left"/>
              <w:rPr>
                <w:rFonts w:hint="default" w:ascii="仿宋" w:hAnsi="仿宋" w:eastAsia="仿宋" w:cs="仿宋"/>
                <w:color w:val="333333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  <w:t>供应商名称</w:t>
            </w: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lang w:val="en-US" w:eastAsia="zh-CN"/>
              </w:rPr>
              <w:t>加盖公章）</w:t>
            </w:r>
          </w:p>
        </w:tc>
        <w:tc>
          <w:tcPr>
            <w:tcW w:w="665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2" w:hRule="atLeast"/>
          <w:jc w:val="center"/>
        </w:trPr>
        <w:tc>
          <w:tcPr>
            <w:tcW w:w="16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  <w:t>项目内容</w:t>
            </w:r>
          </w:p>
        </w:tc>
        <w:tc>
          <w:tcPr>
            <w:tcW w:w="6656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333333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lang w:val="en-US" w:eastAsia="zh-CN"/>
              </w:rPr>
              <w:t>校园零星维修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1" w:hRule="atLeast"/>
          <w:jc w:val="center"/>
        </w:trPr>
        <w:tc>
          <w:tcPr>
            <w:tcW w:w="16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333333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lang w:val="en-US" w:eastAsia="zh-CN"/>
              </w:rPr>
              <w:t>报价</w:t>
            </w:r>
          </w:p>
        </w:tc>
        <w:tc>
          <w:tcPr>
            <w:tcW w:w="6656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adjustRightInd/>
              <w:ind w:leftChars="0"/>
              <w:jc w:val="left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水电供应商：</w:t>
            </w:r>
          </w:p>
          <w:p>
            <w:pPr>
              <w:numPr>
                <w:ilvl w:val="0"/>
                <w:numId w:val="0"/>
              </w:numPr>
              <w:autoSpaceDE/>
              <w:autoSpaceDN/>
              <w:adjustRightInd/>
              <w:ind w:leftChars="0"/>
              <w:jc w:val="left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地下供水管（        ）；室内供水管网（      ）；卫生间排水管（        ）；地下排水管（        ）；路灯更换（         ）。</w:t>
            </w:r>
          </w:p>
          <w:p>
            <w:pPr>
              <w:numPr>
                <w:ilvl w:val="0"/>
                <w:numId w:val="0"/>
              </w:numPr>
              <w:autoSpaceDE/>
              <w:autoSpaceDN/>
              <w:adjustRightInd/>
              <w:ind w:leftChars="0"/>
              <w:jc w:val="left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建筑物构筑物供应商：</w:t>
            </w:r>
          </w:p>
          <w:p>
            <w:pPr>
              <w:numPr>
                <w:ilvl w:val="0"/>
                <w:numId w:val="0"/>
              </w:numPr>
              <w:autoSpaceDE/>
              <w:autoSpaceDN/>
              <w:adjustRightInd/>
              <w:ind w:leftChars="0"/>
              <w:jc w:val="left"/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室内墙面粉刷（         ）；室外真石漆墙面粉刷（         ）；室外墙壁漆粉刷（          ）；瓷砖修复（          ）；屋面防水（           ）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4" w:hRule="atLeast"/>
          <w:jc w:val="center"/>
        </w:trPr>
        <w:tc>
          <w:tcPr>
            <w:tcW w:w="1640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333333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lang w:val="en-US" w:eastAsia="zh-CN"/>
              </w:rPr>
              <w:t>授权人</w:t>
            </w:r>
          </w:p>
        </w:tc>
        <w:tc>
          <w:tcPr>
            <w:tcW w:w="6656" w:type="dxa"/>
            <w:noWrap w:val="0"/>
            <w:vAlign w:val="center"/>
          </w:tcPr>
          <w:p>
            <w:pPr>
              <w:jc w:val="left"/>
              <w:rPr>
                <w:rFonts w:hint="default" w:ascii="仿宋" w:hAnsi="仿宋" w:eastAsia="仿宋" w:cs="仿宋"/>
                <w:color w:val="333333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lang w:val="en-US" w:eastAsia="zh-CN"/>
              </w:rPr>
              <w:t>姓名：         联系方式：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JkMTQxMTE1ZTFiMWMyYmIxYzMzZWE2ZGMzNGZjNGYifQ=="/>
  </w:docVars>
  <w:rsids>
    <w:rsidRoot w:val="00000000"/>
    <w:rsid w:val="28754E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3"/>
    <w:next w:val="1"/>
    <w:qFormat/>
    <w:uiPriority w:val="0"/>
    <w:pPr>
      <w:spacing w:before="240" w:beforeLines="0" w:after="60" w:afterLines="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3">
    <w:name w:val="toc 2"/>
    <w:basedOn w:val="1"/>
    <w:next w:val="1"/>
    <w:qFormat/>
    <w:uiPriority w:val="0"/>
    <w:pPr>
      <w:ind w:left="420" w:leftChars="200"/>
    </w:pPr>
  </w:style>
  <w:style w:type="paragraph" w:styleId="4">
    <w:name w:val="Normal Indent"/>
    <w:basedOn w:val="1"/>
    <w:unhideWhenUsed/>
    <w:qFormat/>
    <w:uiPriority w:val="99"/>
    <w:pPr>
      <w:ind w:firstLine="420" w:firstLineChars="200"/>
    </w:p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2023-07-29T01:10:39Z</dcterms:created>
  <dc:creator>ST1</dc:creator>
  <cp:lastModifiedBy>ST1</cp:lastModifiedBy>
  <dcterms:modified xsi:type="dcterms:W3CDTF">2023-07-29T01:11:31Z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590697154530427CA40FEBE4883DC1EF_12</vt:lpwstr>
  </property>
</Properties>
</file>